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B0" w:rsidRDefault="000F65B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F65B0" w:rsidRDefault="007C539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F65B0" w:rsidRDefault="007C539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232872">
        <w:rPr>
          <w:rFonts w:ascii="仿宋_GB2312" w:eastAsia="仿宋_GB2312" w:cs="仿宋_GB2312" w:hint="eastAsia"/>
          <w:sz w:val="32"/>
          <w:szCs w:val="32"/>
        </w:rPr>
        <w:t>129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F65B0" w:rsidRDefault="000F65B0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0F65B0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0F65B0" w:rsidRDefault="007C539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0F65B0" w:rsidRDefault="007C539E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关于举办精神卫生专委会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学术会议</w:t>
      </w:r>
      <w:r>
        <w:rPr>
          <w:rFonts w:ascii="方正小标宋简体" w:eastAsia="方正小标宋简体" w:hint="eastAsia"/>
          <w:sz w:val="44"/>
          <w:szCs w:val="44"/>
        </w:rPr>
        <w:t>暨市精神病与精神卫生质控中心</w:t>
      </w:r>
      <w:r>
        <w:rPr>
          <w:rFonts w:ascii="方正小标宋简体" w:eastAsia="方正小标宋简体" w:hint="eastAsia"/>
          <w:sz w:val="44"/>
          <w:szCs w:val="44"/>
        </w:rPr>
        <w:t>会议</w:t>
      </w:r>
      <w:r>
        <w:rPr>
          <w:rFonts w:ascii="方正小标宋简体" w:eastAsia="方正小标宋简体" w:hint="eastAsia"/>
          <w:sz w:val="44"/>
          <w:szCs w:val="44"/>
        </w:rPr>
        <w:t>及市级继教项目“睡眠障碍新进展培训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0F65B0" w:rsidRDefault="000F65B0">
      <w:pPr>
        <w:pStyle w:val="a3"/>
        <w:spacing w:before="133" w:line="540" w:lineRule="exact"/>
        <w:rPr>
          <w:rFonts w:ascii="仿宋_GB2312" w:eastAsia="仿宋_GB2312" w:hAnsi="仿宋_GB2312" w:cs="仿宋_GB2312"/>
          <w:spacing w:val="23"/>
        </w:rPr>
      </w:pPr>
    </w:p>
    <w:p w:rsidR="000F65B0" w:rsidRDefault="007C539E">
      <w:pPr>
        <w:pStyle w:val="a3"/>
        <w:spacing w:before="133" w:line="54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23"/>
        </w:rPr>
        <w:t>各县</w:t>
      </w:r>
      <w:r>
        <w:rPr>
          <w:rFonts w:ascii="仿宋_GB2312" w:eastAsia="仿宋_GB2312" w:hAnsi="仿宋_GB2312" w:cs="仿宋_GB2312" w:hint="eastAsia"/>
          <w:spacing w:val="23"/>
        </w:rPr>
        <w:t>(</w:t>
      </w:r>
      <w:r>
        <w:rPr>
          <w:rFonts w:ascii="仿宋_GB2312" w:eastAsia="仿宋_GB2312" w:hAnsi="仿宋_GB2312" w:cs="仿宋_GB2312" w:hint="eastAsia"/>
          <w:spacing w:val="23"/>
        </w:rPr>
        <w:t>区</w:t>
      </w:r>
      <w:r>
        <w:rPr>
          <w:rFonts w:ascii="仿宋_GB2312" w:eastAsia="仿宋_GB2312" w:hAnsi="仿宋_GB2312" w:cs="仿宋_GB2312" w:hint="eastAsia"/>
          <w:spacing w:val="23"/>
        </w:rPr>
        <w:t>)</w:t>
      </w:r>
      <w:r>
        <w:rPr>
          <w:rFonts w:ascii="仿宋_GB2312" w:eastAsia="仿宋_GB2312" w:hAnsi="仿宋_GB2312" w:cs="仿宋_GB2312" w:hint="eastAsia"/>
          <w:spacing w:val="23"/>
        </w:rPr>
        <w:t>医</w:t>
      </w:r>
      <w:r>
        <w:rPr>
          <w:rFonts w:ascii="仿宋_GB2312" w:eastAsia="仿宋_GB2312" w:hAnsi="仿宋_GB2312" w:cs="仿宋_GB2312" w:hint="eastAsia"/>
          <w:spacing w:val="23"/>
        </w:rPr>
        <w:t>学</w:t>
      </w:r>
      <w:r>
        <w:rPr>
          <w:rFonts w:ascii="仿宋_GB2312" w:eastAsia="仿宋_GB2312" w:hAnsi="仿宋_GB2312" w:cs="仿宋_GB2312" w:hint="eastAsia"/>
          <w:spacing w:val="23"/>
        </w:rPr>
        <w:t>会</w:t>
      </w:r>
      <w:r>
        <w:rPr>
          <w:rFonts w:ascii="仿宋_GB2312" w:eastAsia="仿宋_GB2312" w:hAnsi="仿宋_GB2312" w:cs="仿宋_GB2312" w:hint="eastAsia"/>
          <w:spacing w:val="23"/>
        </w:rPr>
        <w:t>、</w:t>
      </w:r>
      <w:r>
        <w:rPr>
          <w:rFonts w:ascii="仿宋_GB2312" w:eastAsia="仿宋_GB2312" w:hAnsi="仿宋_GB2312" w:cs="仿宋_GB2312" w:hint="eastAsia"/>
          <w:spacing w:val="23"/>
        </w:rPr>
        <w:t>团体会员单位</w:t>
      </w:r>
      <w:r>
        <w:rPr>
          <w:rFonts w:ascii="仿宋_GB2312" w:eastAsia="仿宋_GB2312" w:hAnsi="仿宋_GB2312" w:cs="仿宋_GB2312" w:hint="eastAsia"/>
          <w:spacing w:val="23"/>
        </w:rPr>
        <w:t>:</w:t>
      </w:r>
    </w:p>
    <w:p w:rsidR="000F65B0" w:rsidRDefault="007C539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为推动我市精神卫生专业健康发展，进一步规范精神卫生医疗行为，提升精神卫生质量及精神科执业医师和</w:t>
      </w:r>
      <w:r>
        <w:rPr>
          <w:rFonts w:ascii="仿宋_GB2312" w:eastAsia="仿宋_GB2312" w:hAnsi="宋体" w:hint="eastAsia"/>
          <w:sz w:val="32"/>
          <w:szCs w:val="32"/>
        </w:rPr>
        <w:t>心理服务</w:t>
      </w:r>
      <w:r>
        <w:rPr>
          <w:rFonts w:ascii="仿宋_GB2312" w:eastAsia="仿宋_GB2312" w:hAnsi="宋体" w:hint="eastAsia"/>
          <w:sz w:val="32"/>
          <w:szCs w:val="32"/>
        </w:rPr>
        <w:t>人员专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业技术水平</w:t>
      </w:r>
      <w:r w:rsidR="0040158B"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，由眉山市中医医院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举办</w:t>
      </w:r>
      <w:r w:rsidR="0040158B"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的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2</w:t>
      </w:r>
      <w:r w:rsidRPr="0040158B">
        <w:rPr>
          <w:rFonts w:ascii="仿宋_GB2312" w:eastAsia="仿宋_GB2312" w:hAnsi="宋体"/>
          <w:color w:val="000000" w:themeColor="text1"/>
          <w:sz w:val="32"/>
          <w:szCs w:val="32"/>
        </w:rPr>
        <w:t>02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年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眉山市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医学会</w:t>
      </w:r>
      <w:r w:rsidRPr="0040158B">
        <w:rPr>
          <w:rFonts w:ascii="仿宋_GB2312" w:eastAsia="仿宋_GB2312" w:hAnsi="宋体" w:hint="eastAsia"/>
          <w:color w:val="000000" w:themeColor="text1"/>
          <w:sz w:val="32"/>
          <w:szCs w:val="32"/>
        </w:rPr>
        <w:t>精</w:t>
      </w:r>
      <w:r>
        <w:rPr>
          <w:rFonts w:ascii="仿宋_GB2312" w:eastAsia="仿宋_GB2312" w:hAnsi="宋体" w:hint="eastAsia"/>
          <w:sz w:val="32"/>
          <w:szCs w:val="32"/>
        </w:rPr>
        <w:t>神卫生专委会</w:t>
      </w:r>
      <w:r>
        <w:rPr>
          <w:rFonts w:ascii="仿宋_GB2312" w:eastAsia="仿宋_GB2312" w:hAnsi="宋体" w:hint="eastAsia"/>
          <w:sz w:val="32"/>
          <w:szCs w:val="32"/>
        </w:rPr>
        <w:t>学术会</w:t>
      </w:r>
      <w:r>
        <w:rPr>
          <w:rFonts w:ascii="仿宋_GB2312" w:eastAsia="仿宋_GB2312" w:hAnsi="宋体" w:hint="eastAsia"/>
          <w:sz w:val="32"/>
          <w:szCs w:val="32"/>
        </w:rPr>
        <w:t>暨</w:t>
      </w:r>
      <w:r>
        <w:rPr>
          <w:rFonts w:ascii="仿宋_GB2312" w:eastAsia="仿宋_GB2312" w:hAnsi="宋体" w:hint="eastAsia"/>
          <w:sz w:val="32"/>
          <w:szCs w:val="32"/>
        </w:rPr>
        <w:t>眉山</w:t>
      </w:r>
      <w:r>
        <w:rPr>
          <w:rFonts w:ascii="仿宋_GB2312" w:eastAsia="仿宋_GB2312" w:hAnsi="宋体" w:hint="eastAsia"/>
          <w:sz w:val="32"/>
          <w:szCs w:val="32"/>
        </w:rPr>
        <w:t>市精神病与精神卫生质量控制中心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 w:hint="eastAsia"/>
          <w:sz w:val="32"/>
          <w:szCs w:val="32"/>
        </w:rPr>
        <w:t>及市级继教项目“睡眠障碍新进展培训</w:t>
      </w:r>
      <w:r>
        <w:rPr>
          <w:rFonts w:ascii="仿宋_GB2312" w:eastAsia="仿宋_GB2312" w:hAnsi="宋体"/>
          <w:sz w:val="32"/>
          <w:szCs w:val="32"/>
        </w:rPr>
        <w:t>”</w:t>
      </w:r>
      <w:r w:rsidR="0040158B">
        <w:rPr>
          <w:rFonts w:ascii="仿宋_GB2312" w:eastAsia="仿宋_GB2312" w:hAnsi="宋体" w:hint="eastAsia"/>
          <w:sz w:val="32"/>
          <w:szCs w:val="32"/>
        </w:rPr>
        <w:t>定于近期召开</w:t>
      </w:r>
      <w:r>
        <w:rPr>
          <w:rFonts w:ascii="仿宋_GB2312" w:eastAsia="仿宋_GB2312" w:hAnsi="宋体" w:hint="eastAsia"/>
          <w:sz w:val="32"/>
          <w:szCs w:val="32"/>
        </w:rPr>
        <w:t>，届时</w:t>
      </w:r>
      <w:r>
        <w:rPr>
          <w:rFonts w:ascii="仿宋_GB2312" w:eastAsia="仿宋_GB2312" w:hAnsi="宋体" w:hint="eastAsia"/>
          <w:sz w:val="32"/>
          <w:szCs w:val="32"/>
        </w:rPr>
        <w:t>将邀请成都市精神卫生中心的精神科专家</w:t>
      </w:r>
      <w:r>
        <w:rPr>
          <w:rFonts w:ascii="仿宋_GB2312" w:eastAsia="仿宋_GB2312" w:hAnsi="宋体" w:hint="eastAsia"/>
          <w:sz w:val="32"/>
          <w:szCs w:val="32"/>
        </w:rPr>
        <w:t>现场授课</w:t>
      </w:r>
      <w:r>
        <w:rPr>
          <w:rFonts w:ascii="仿宋_GB2312" w:eastAsia="仿宋_GB2312" w:hAnsi="宋体" w:hint="eastAsia"/>
          <w:sz w:val="32"/>
          <w:szCs w:val="32"/>
        </w:rPr>
        <w:t>。现将</w:t>
      </w:r>
      <w:r>
        <w:rPr>
          <w:rFonts w:ascii="仿宋_GB2312" w:eastAsia="仿宋_GB2312" w:hAnsi="宋体" w:hint="eastAsia"/>
          <w:sz w:val="32"/>
          <w:szCs w:val="32"/>
        </w:rPr>
        <w:t>会议</w:t>
      </w:r>
      <w:r>
        <w:rPr>
          <w:rFonts w:ascii="仿宋_GB2312" w:eastAsia="仿宋_GB2312" w:hAnsi="宋体" w:hint="eastAsia"/>
          <w:sz w:val="32"/>
          <w:szCs w:val="32"/>
        </w:rPr>
        <w:t>有关事项通知如下：</w:t>
      </w:r>
    </w:p>
    <w:p w:rsidR="000F65B0" w:rsidRDefault="007C539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正式开始，会期一天。</w:t>
      </w:r>
    </w:p>
    <w:p w:rsidR="000F65B0" w:rsidRDefault="007C539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0F65B0" w:rsidRDefault="007C539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眉山宾馆三楼会议室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眉山市东坡区下西街迎宾巷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028-38229188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  <w:bookmarkStart w:id="0" w:name="_GoBack"/>
      <w:bookmarkEnd w:id="0"/>
    </w:p>
    <w:p w:rsidR="000F65B0" w:rsidRDefault="007C539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三、参会人员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眉山市医学会精神卫生专委会</w:t>
      </w:r>
      <w:r>
        <w:rPr>
          <w:rFonts w:ascii="仿宋_GB2312" w:eastAsia="仿宋_GB2312" w:hint="eastAsia"/>
          <w:sz w:val="32"/>
          <w:szCs w:val="32"/>
        </w:rPr>
        <w:t>全体</w:t>
      </w:r>
      <w:r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眉山市精神病与精神卫生质量控制中心专家组成员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（二）眉山市精神卫生医疗机构精神科医生、护士、心理咨询师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治疗师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B0" w:rsidRDefault="007C539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四、会议议程（</w:t>
      </w:r>
      <w:r>
        <w:rPr>
          <w:rFonts w:ascii="仿宋_GB2312" w:eastAsia="仿宋_GB2312" w:hint="eastAsia"/>
          <w:sz w:val="32"/>
          <w:szCs w:val="32"/>
        </w:rPr>
        <w:t>见附件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0F65B0" w:rsidRDefault="007C539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本次讲座免收会务费，</w:t>
      </w:r>
      <w:r>
        <w:rPr>
          <w:rFonts w:ascii="仿宋_GB2312" w:eastAsia="仿宋_GB2312" w:hint="eastAsia"/>
          <w:sz w:val="32"/>
          <w:szCs w:val="32"/>
        </w:rPr>
        <w:t>差旅费</w:t>
      </w:r>
      <w:r>
        <w:rPr>
          <w:rFonts w:ascii="仿宋_GB2312" w:eastAsia="仿宋_GB2312" w:hint="eastAsia"/>
          <w:sz w:val="32"/>
          <w:szCs w:val="32"/>
        </w:rPr>
        <w:t>回原单位报销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本次学术会议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授予市级Ⅱ类学分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分，请携带智能手机参会，并下载“</w:t>
      </w:r>
      <w:r>
        <w:rPr>
          <w:rFonts w:ascii="仿宋_GB2312" w:eastAsia="仿宋_GB2312" w:hint="eastAsia"/>
          <w:sz w:val="32"/>
          <w:szCs w:val="32"/>
        </w:rPr>
        <w:t>易学酷</w:t>
      </w:r>
      <w:r>
        <w:rPr>
          <w:rFonts w:ascii="仿宋_GB2312" w:eastAsia="仿宋_GB2312" w:hint="eastAsia"/>
          <w:sz w:val="32"/>
          <w:szCs w:val="32"/>
        </w:rPr>
        <w:t>”手机客户端扫描二维码获取学分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请各县</w:t>
      </w:r>
      <w:r>
        <w:rPr>
          <w:rFonts w:ascii="仿宋_GB2312" w:eastAsia="仿宋_GB2312" w:hint="eastAsia"/>
          <w:sz w:val="32"/>
          <w:szCs w:val="32"/>
        </w:rPr>
        <w:t>（区）医学会、团体会员单位积极组织相关</w:t>
      </w:r>
      <w:r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参会，并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17:00</w:t>
      </w:r>
      <w:r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将参会回执（</w:t>
      </w:r>
      <w:r>
        <w:rPr>
          <w:rFonts w:ascii="仿宋_GB2312" w:eastAsia="仿宋_GB2312" w:hint="eastAsia"/>
          <w:sz w:val="32"/>
          <w:szCs w:val="32"/>
        </w:rPr>
        <w:t>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发送至电子</w:t>
      </w:r>
      <w:r>
        <w:rPr>
          <w:rFonts w:ascii="仿宋_GB2312" w:eastAsia="仿宋_GB2312" w:hint="eastAsia"/>
          <w:sz w:val="32"/>
          <w:szCs w:val="32"/>
        </w:rPr>
        <w:t>邮箱（</w:t>
      </w:r>
      <w:r>
        <w:rPr>
          <w:rFonts w:ascii="仿宋_GB2312" w:eastAsia="仿宋_GB2312" w:hint="eastAsia"/>
          <w:sz w:val="32"/>
          <w:szCs w:val="32"/>
        </w:rPr>
        <w:t>75797278@qq.com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0F65B0" w:rsidRDefault="007C539E">
      <w:pPr>
        <w:pStyle w:val="ac"/>
        <w:spacing w:line="54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眉山市精神卫生中心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黄再红：</w:t>
      </w:r>
      <w:r>
        <w:rPr>
          <w:rFonts w:ascii="仿宋_GB2312" w:eastAsia="仿宋_GB2312" w:hint="eastAsia"/>
          <w:sz w:val="32"/>
          <w:szCs w:val="32"/>
        </w:rPr>
        <w:t>13890374913</w:t>
      </w:r>
    </w:p>
    <w:p w:rsidR="000F65B0" w:rsidRDefault="007C539E">
      <w:pPr>
        <w:pStyle w:val="ac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Style w:val="ab"/>
          <w:rFonts w:ascii="仿宋_GB2312" w:eastAsia="仿宋_GB2312" w:hint="eastAsia"/>
          <w:color w:val="auto"/>
          <w:sz w:val="32"/>
          <w:szCs w:val="32"/>
          <w:u w:val="none"/>
        </w:rPr>
        <w:t xml:space="preserve"> </w:t>
      </w:r>
      <w:r>
        <w:rPr>
          <w:rStyle w:val="ab"/>
          <w:rFonts w:ascii="仿宋_GB2312" w:eastAsia="仿宋_GB2312"/>
          <w:color w:val="auto"/>
          <w:sz w:val="32"/>
          <w:szCs w:val="32"/>
          <w:u w:val="none"/>
        </w:rPr>
        <w:t xml:space="preserve">         </w:t>
      </w:r>
    </w:p>
    <w:p w:rsidR="000F65B0" w:rsidRDefault="007C539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参会回执</w:t>
      </w:r>
    </w:p>
    <w:p w:rsidR="000F65B0" w:rsidRDefault="007C539E">
      <w:pPr>
        <w:pStyle w:val="ac"/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会议议程</w:t>
      </w:r>
    </w:p>
    <w:p w:rsidR="000F65B0" w:rsidRDefault="000F65B0">
      <w:pPr>
        <w:pStyle w:val="ac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F65B0" w:rsidRDefault="007C539E">
      <w:pPr>
        <w:pStyle w:val="ac"/>
        <w:autoSpaceDE w:val="0"/>
        <w:autoSpaceDN w:val="0"/>
        <w:adjustRightInd w:val="0"/>
        <w:snapToGrid w:val="0"/>
        <w:spacing w:line="54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0F65B0" w:rsidRDefault="007C539E">
      <w:pPr>
        <w:pStyle w:val="ac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0F65B0" w:rsidRDefault="000F65B0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0F65B0" w:rsidRDefault="007C539E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0F65B0" w:rsidRDefault="007C539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F65B0" w:rsidRDefault="007C539E">
      <w:pPr>
        <w:pStyle w:val="ac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tbl>
      <w:tblPr>
        <w:tblStyle w:val="a9"/>
        <w:tblW w:w="5412" w:type="pct"/>
        <w:tblInd w:w="-252" w:type="dxa"/>
        <w:tblLook w:val="04A0"/>
      </w:tblPr>
      <w:tblGrid>
        <w:gridCol w:w="3043"/>
        <w:gridCol w:w="1589"/>
        <w:gridCol w:w="1995"/>
        <w:gridCol w:w="1848"/>
        <w:gridCol w:w="1332"/>
      </w:tblGrid>
      <w:tr w:rsidR="000F65B0">
        <w:tc>
          <w:tcPr>
            <w:tcW w:w="1551" w:type="pct"/>
            <w:vAlign w:val="center"/>
          </w:tcPr>
          <w:p w:rsidR="000F65B0" w:rsidRDefault="007C539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810" w:type="pct"/>
            <w:vAlign w:val="center"/>
          </w:tcPr>
          <w:p w:rsidR="000F65B0" w:rsidRDefault="007C539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16" w:type="pct"/>
            <w:vAlign w:val="center"/>
          </w:tcPr>
          <w:p w:rsidR="000F65B0" w:rsidRDefault="007C539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941" w:type="pct"/>
            <w:vAlign w:val="center"/>
          </w:tcPr>
          <w:p w:rsidR="000F65B0" w:rsidRDefault="007C539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679" w:type="pct"/>
            <w:vAlign w:val="center"/>
          </w:tcPr>
          <w:p w:rsidR="000F65B0" w:rsidRDefault="007C53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F65B0">
        <w:tc>
          <w:tcPr>
            <w:tcW w:w="155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10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6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41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79" w:type="pct"/>
          </w:tcPr>
          <w:p w:rsidR="000F65B0" w:rsidRDefault="000F65B0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F65B0" w:rsidRDefault="000F65B0"/>
    <w:p w:rsidR="000F65B0" w:rsidRDefault="000F65B0"/>
    <w:p w:rsidR="000F65B0" w:rsidRDefault="000F65B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0F65B0" w:rsidRDefault="007C539E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</w:t>
      </w:r>
    </w:p>
    <w:p w:rsidR="000F65B0" w:rsidRDefault="000F65B0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spacing w:line="580" w:lineRule="exact"/>
        <w:ind w:right="320" w:firstLineChars="200" w:firstLine="640"/>
        <w:jc w:val="center"/>
        <w:rPr>
          <w:rFonts w:ascii="仿宋_GB2312" w:eastAsia="仿宋_GB2312" w:hAnsi="黑体"/>
          <w:sz w:val="32"/>
          <w:szCs w:val="32"/>
        </w:rPr>
      </w:pPr>
    </w:p>
    <w:p w:rsidR="000F65B0" w:rsidRDefault="000F65B0">
      <w:pPr>
        <w:pStyle w:val="ac"/>
        <w:spacing w:line="580" w:lineRule="exact"/>
        <w:ind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</w:p>
    <w:p w:rsidR="000F65B0" w:rsidRDefault="000F65B0">
      <w:pPr>
        <w:pStyle w:val="ac"/>
        <w:spacing w:line="580" w:lineRule="exact"/>
        <w:ind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</w:p>
    <w:p w:rsidR="000F65B0" w:rsidRDefault="000F65B0">
      <w:pPr>
        <w:pStyle w:val="ac"/>
        <w:spacing w:line="580" w:lineRule="exact"/>
        <w:ind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</w:p>
    <w:p w:rsidR="000F65B0" w:rsidRDefault="000F65B0">
      <w:pPr>
        <w:pStyle w:val="ac"/>
        <w:spacing w:line="580" w:lineRule="exact"/>
        <w:ind w:firstLineChars="0" w:firstLine="0"/>
        <w:rPr>
          <w:rFonts w:ascii="仿宋_GB2312" w:eastAsia="仿宋_GB2312"/>
          <w:color w:val="000000" w:themeColor="text1"/>
          <w:sz w:val="32"/>
          <w:szCs w:val="32"/>
        </w:rPr>
      </w:pPr>
    </w:p>
    <w:p w:rsidR="000F65B0" w:rsidRDefault="007C539E">
      <w:pPr>
        <w:pStyle w:val="ac"/>
        <w:spacing w:line="580" w:lineRule="exact"/>
        <w:ind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0F65B0" w:rsidRDefault="007C539E">
      <w:pPr>
        <w:pStyle w:val="ac"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会议议程</w:t>
      </w:r>
    </w:p>
    <w:tbl>
      <w:tblPr>
        <w:tblStyle w:val="a9"/>
        <w:tblpPr w:leftFromText="180" w:rightFromText="180" w:vertAnchor="text" w:horzAnchor="page" w:tblpX="1322" w:tblpY="566"/>
        <w:tblOverlap w:val="never"/>
        <w:tblW w:w="9990" w:type="dxa"/>
        <w:tblLayout w:type="fixed"/>
        <w:tblLook w:val="04A0"/>
      </w:tblPr>
      <w:tblGrid>
        <w:gridCol w:w="1790"/>
        <w:gridCol w:w="3810"/>
        <w:gridCol w:w="3000"/>
        <w:gridCol w:w="1390"/>
      </w:tblGrid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内容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主讲人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0" w:type="dxa"/>
            <w:gridSpan w:val="3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报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到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8:40-9:00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质控中心主任讲话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程贺军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珂</w:t>
            </w:r>
          </w:p>
        </w:tc>
      </w:tr>
      <w:tr w:rsidR="000F65B0">
        <w:trPr>
          <w:trHeight w:val="645"/>
        </w:trPr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9:00-10: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拥有良好睡眠，保持健康状态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成都市精神卫生中心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罗凡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珂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0" w:type="dxa"/>
            <w:gridSpan w:val="3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息</w:t>
            </w:r>
          </w:p>
        </w:tc>
      </w:tr>
      <w:tr w:rsidR="000F65B0">
        <w:trPr>
          <w:trHeight w:val="691"/>
        </w:trPr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0-12:10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睡眠障碍与心理治疗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成都市精神卫生中心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周游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珂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0" w:type="dxa"/>
            <w:gridSpan w:val="3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餐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0-15: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0F65B0" w:rsidRDefault="007C539E" w:rsidP="00232872">
            <w:pPr>
              <w:pStyle w:val="ac"/>
              <w:spacing w:line="580" w:lineRule="exact"/>
              <w:ind w:firstLine="48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长效针剂的临床使用方法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成都市精神卫生中心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孔娣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黄再红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医疗查房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成都市精神卫生中心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罗凡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黄再红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眉山市严重精神障碍应用第二代长效针剂项目质控管理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眉山市卫生健康委员会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何继东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珂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1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眉山市精神病与精神卫生质控总结与计划</w:t>
            </w:r>
          </w:p>
        </w:tc>
        <w:tc>
          <w:tcPr>
            <w:tcW w:w="3000" w:type="dxa"/>
            <w:vAlign w:val="center"/>
          </w:tcPr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眉山市精神卫生中心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副主任医师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F65B0" w:rsidRDefault="007C539E">
            <w:pPr>
              <w:pStyle w:val="ac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黄再红</w:t>
            </w:r>
          </w:p>
        </w:tc>
        <w:tc>
          <w:tcPr>
            <w:tcW w:w="13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珂</w:t>
            </w:r>
          </w:p>
        </w:tc>
      </w:tr>
      <w:tr w:rsidR="000F65B0">
        <w:tc>
          <w:tcPr>
            <w:tcW w:w="1790" w:type="dxa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8200" w:type="dxa"/>
            <w:gridSpan w:val="3"/>
            <w:vAlign w:val="center"/>
          </w:tcPr>
          <w:p w:rsidR="000F65B0" w:rsidRDefault="007C539E">
            <w:pPr>
              <w:pStyle w:val="ac"/>
              <w:spacing w:line="580" w:lineRule="exact"/>
              <w:ind w:firstLineChars="0" w:firstLine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晚餐、散会</w:t>
            </w:r>
          </w:p>
        </w:tc>
      </w:tr>
    </w:tbl>
    <w:p w:rsidR="000F65B0" w:rsidRDefault="000F65B0">
      <w:pPr>
        <w:pStyle w:val="a3"/>
      </w:pPr>
    </w:p>
    <w:sectPr w:rsidR="000F65B0" w:rsidSect="000F65B0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9E" w:rsidRDefault="007C539E" w:rsidP="000F65B0">
      <w:r>
        <w:separator/>
      </w:r>
    </w:p>
  </w:endnote>
  <w:endnote w:type="continuationSeparator" w:id="0">
    <w:p w:rsidR="007C539E" w:rsidRDefault="007C539E" w:rsidP="000F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B0" w:rsidRDefault="000F65B0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7C539E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40158B">
      <w:rPr>
        <w:rStyle w:val="aa"/>
        <w:rFonts w:ascii="仿宋_GB2312" w:eastAsia="仿宋_GB2312" w:cs="仿宋_GB2312"/>
        <w:noProof/>
        <w:sz w:val="32"/>
        <w:szCs w:val="32"/>
      </w:rPr>
      <w:t>- 1 -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0F65B0" w:rsidRDefault="000F65B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9E" w:rsidRDefault="007C539E" w:rsidP="000F65B0">
      <w:r>
        <w:separator/>
      </w:r>
    </w:p>
  </w:footnote>
  <w:footnote w:type="continuationSeparator" w:id="0">
    <w:p w:rsidR="007C539E" w:rsidRDefault="007C539E" w:rsidP="000F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B0" w:rsidRDefault="000F65B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B0" w:rsidRDefault="000F65B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C25B2"/>
    <w:rsid w:val="000F65B0"/>
    <w:rsid w:val="00133D39"/>
    <w:rsid w:val="00152071"/>
    <w:rsid w:val="001E4FB0"/>
    <w:rsid w:val="00232872"/>
    <w:rsid w:val="003827A9"/>
    <w:rsid w:val="0040158B"/>
    <w:rsid w:val="006B1DF5"/>
    <w:rsid w:val="007C539E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3BA6E9B"/>
    <w:rsid w:val="03E868D9"/>
    <w:rsid w:val="03FE7EAB"/>
    <w:rsid w:val="0606092B"/>
    <w:rsid w:val="06DF1930"/>
    <w:rsid w:val="07886EB7"/>
    <w:rsid w:val="07974152"/>
    <w:rsid w:val="0B4162D1"/>
    <w:rsid w:val="0CAF4315"/>
    <w:rsid w:val="116857C0"/>
    <w:rsid w:val="11C40985"/>
    <w:rsid w:val="11E9219A"/>
    <w:rsid w:val="15655FDB"/>
    <w:rsid w:val="1583041A"/>
    <w:rsid w:val="17177859"/>
    <w:rsid w:val="17886AC5"/>
    <w:rsid w:val="17B52555"/>
    <w:rsid w:val="185A1510"/>
    <w:rsid w:val="198D1CE7"/>
    <w:rsid w:val="1B7F1479"/>
    <w:rsid w:val="1BC7354C"/>
    <w:rsid w:val="1C1C356B"/>
    <w:rsid w:val="2423120F"/>
    <w:rsid w:val="266320C3"/>
    <w:rsid w:val="26E65F5B"/>
    <w:rsid w:val="299A6286"/>
    <w:rsid w:val="2C7124AA"/>
    <w:rsid w:val="2D8428C0"/>
    <w:rsid w:val="2F511326"/>
    <w:rsid w:val="32904240"/>
    <w:rsid w:val="350E769E"/>
    <w:rsid w:val="38EB6348"/>
    <w:rsid w:val="39094825"/>
    <w:rsid w:val="3EEC6CA2"/>
    <w:rsid w:val="40440562"/>
    <w:rsid w:val="41214BFD"/>
    <w:rsid w:val="41F66339"/>
    <w:rsid w:val="421C165A"/>
    <w:rsid w:val="425D0E63"/>
    <w:rsid w:val="4C404F05"/>
    <w:rsid w:val="4C5B7285"/>
    <w:rsid w:val="4D183358"/>
    <w:rsid w:val="52C360E1"/>
    <w:rsid w:val="5434074B"/>
    <w:rsid w:val="572F26D3"/>
    <w:rsid w:val="5A68181B"/>
    <w:rsid w:val="627F7BAF"/>
    <w:rsid w:val="63AE6B96"/>
    <w:rsid w:val="64E80AA9"/>
    <w:rsid w:val="65044496"/>
    <w:rsid w:val="67A02142"/>
    <w:rsid w:val="6AA12AD2"/>
    <w:rsid w:val="6DF60820"/>
    <w:rsid w:val="6E4D092F"/>
    <w:rsid w:val="6F437969"/>
    <w:rsid w:val="6F493880"/>
    <w:rsid w:val="701302AC"/>
    <w:rsid w:val="71605D58"/>
    <w:rsid w:val="721B65CF"/>
    <w:rsid w:val="72B55021"/>
    <w:rsid w:val="73397A01"/>
    <w:rsid w:val="74AF1FDC"/>
    <w:rsid w:val="778C5F09"/>
    <w:rsid w:val="7A2D7B93"/>
    <w:rsid w:val="7AEC7106"/>
    <w:rsid w:val="7B2D5C88"/>
    <w:rsid w:val="7E9C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B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0F65B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0F65B0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0F65B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F65B0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0F65B0"/>
    <w:rPr>
      <w:rFonts w:ascii="宋体" w:cs="宋体"/>
    </w:rPr>
  </w:style>
  <w:style w:type="paragraph" w:styleId="a5">
    <w:name w:val="Date"/>
    <w:basedOn w:val="a"/>
    <w:next w:val="a"/>
    <w:qFormat/>
    <w:rsid w:val="000F65B0"/>
    <w:pPr>
      <w:ind w:leftChars="2500" w:left="2500"/>
    </w:pPr>
  </w:style>
  <w:style w:type="paragraph" w:styleId="a6">
    <w:name w:val="footer"/>
    <w:basedOn w:val="a"/>
    <w:qFormat/>
    <w:rsid w:val="000F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0F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0F65B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0F65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0F65B0"/>
  </w:style>
  <w:style w:type="character" w:styleId="ab">
    <w:name w:val="Hyperlink"/>
    <w:basedOn w:val="a0"/>
    <w:qFormat/>
    <w:rsid w:val="000F65B0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0F65B0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0F65B0"/>
  </w:style>
  <w:style w:type="paragraph" w:customStyle="1" w:styleId="Bodytext2">
    <w:name w:val="Body text|2"/>
    <w:basedOn w:val="a"/>
    <w:qFormat/>
    <w:rsid w:val="000F65B0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0F65B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0F65B0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0F65B0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0F65B0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0F65B0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0F65B0"/>
    <w:pPr>
      <w:ind w:firstLineChars="200" w:firstLine="420"/>
    </w:pPr>
  </w:style>
  <w:style w:type="paragraph" w:customStyle="1" w:styleId="TableParagraph">
    <w:name w:val="Table Paragraph"/>
    <w:basedOn w:val="a"/>
    <w:qFormat/>
    <w:rsid w:val="000F65B0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0F65B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205</Words>
  <Characters>1173</Characters>
  <Application>Microsoft Office Word</Application>
  <DocSecurity>0</DocSecurity>
  <Lines>9</Lines>
  <Paragraphs>2</Paragraphs>
  <ScaleCrop>false</ScaleCrop>
  <Company>user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322</cp:revision>
  <cp:lastPrinted>2018-11-09T01:43:00Z</cp:lastPrinted>
  <dcterms:created xsi:type="dcterms:W3CDTF">2018-06-11T06:06:00Z</dcterms:created>
  <dcterms:modified xsi:type="dcterms:W3CDTF">2023-10-30T08:26:00Z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