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21〕206号</w:t>
      </w:r>
    </w:p>
    <w:p>
      <w:pPr>
        <w:pStyle w:val="2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pict>
          <v:line id="_x0000_s1026" o:spid="_x0000_s1026" o:spt="20" style="position:absolute;left:0pt;margin-left:-3.85pt;margin-top:9pt;height:0pt;width:449.95pt;z-index:251659264;mso-width-relative:page;mso-height-relative:page;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A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眉山市医学会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降低孕产妇死亡-为高危妊娠保驾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护航</w:t>
      </w:r>
      <w:r>
        <w:rPr>
          <w:rFonts w:hint="eastAsia" w:ascii="方正小标宋简体" w:eastAsia="方正小标宋简体"/>
          <w:sz w:val="44"/>
          <w:szCs w:val="44"/>
        </w:rPr>
        <w:t>线上会议的通知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各县（区）医学会、团体会员单位：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降低婴儿出生缺陷，保障母婴安全，提高我市产科专业诊疗技术，加强同行间的学术交流，由四川大学华西第二医院眉山市妇女儿童医院（眉山市妇幼保健院）举办的省级医学继续教育项目《降低孕产妇死亡-为高危妊娠保驾护航》（项目编号：21-20-012-05021067）线上培训将于近期召开，届时将邀请相关专家线上授课。现将有关事宜通知如下:</w:t>
      </w:r>
    </w:p>
    <w:p>
      <w:pPr>
        <w:numPr>
          <w:ilvl w:val="0"/>
          <w:numId w:val="1"/>
        </w:numPr>
        <w:tabs>
          <w:tab w:val="left" w:pos="949"/>
        </w:tabs>
        <w:spacing w:line="600" w:lineRule="exact"/>
        <w:ind w:firstLine="640" w:firstLineChars="20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会议时间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2021年12月30日(星期四)8:00-8:50签到，8:50-17:00开会，会期一天。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二、参会方式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（一）扫描二维码或登录网址报名（附件1）；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（二）点击“立即报名”（使用中疗智用的用户名、密码登录或手机号码验证码登陆），点击“+”添加参会人员，完善参会人员信息提交报名。</w:t>
      </w:r>
    </w:p>
    <w:p>
      <w:pPr>
        <w:spacing w:line="580" w:lineRule="exact"/>
        <w:ind w:left="630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（三）会议签到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2021年12月30日8:00—8:50请扫码登录后点击“进入直播间”，进入直播间后点击“签到/签出”进行签到；会议结束后点击“签到/签出”进行签出。</w:t>
      </w:r>
    </w:p>
    <w:p>
      <w:pPr>
        <w:spacing w:line="580" w:lineRule="exact"/>
        <w:ind w:left="63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（四）点击“满意度调查”填写对本次继教项目的评价。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三、会议议程(附件2)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四、参会对象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全市各级医疗机构相关医务人员。</w:t>
      </w:r>
    </w:p>
    <w:p>
      <w:pPr>
        <w:shd w:val="clear" w:color="auto" w:fill="FFFFFF"/>
        <w:spacing w:line="600" w:lineRule="exact"/>
        <w:ind w:firstLine="640" w:firstLineChars="200"/>
        <w:textAlignment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五、其他事项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（一）本次会议免收会务费。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（二）参加本次会议的人员授子省级继续医学教育Ⅰ类学分2分(会议开始前签到、结束后签出，必须两次签到成功，学分才能上传审核成功）。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（三）联系人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惠：13778837743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  尧：13778893014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杨丽红：15196464387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附件：1.参会方式</w:t>
      </w:r>
    </w:p>
    <w:p>
      <w:pPr>
        <w:spacing w:line="580" w:lineRule="exact"/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2.会议议程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眉山市医学会</w:t>
      </w: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年12月22日</w:t>
      </w: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</w:t>
      </w:r>
      <w:r>
        <w:rPr>
          <w:rFonts w:hint="eastAsia"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>21年12月22日印发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参会方式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一、报名网址：</w:t>
      </w:r>
      <w:r>
        <w:fldChar w:fldCharType="begin"/>
      </w:r>
      <w:r>
        <w:instrText xml:space="preserve"> HYPERLINK "http://hy.cmnt.cn/1756" </w:instrText>
      </w:r>
      <w:r>
        <w:fldChar w:fldCharType="separate"/>
      </w:r>
      <w:r>
        <w:rPr>
          <w:rStyle w:val="11"/>
          <w:rFonts w:hint="eastAsia" w:ascii="仿宋" w:hAnsi="仿宋" w:eastAsia="仿宋" w:cs="仿宋"/>
          <w:color w:val="000000"/>
          <w:sz w:val="32"/>
          <w:szCs w:val="32"/>
          <w:u w:val="none"/>
        </w:rPr>
        <w:t>http://hy.cmnt.cn/1756</w:t>
      </w:r>
      <w:r>
        <w:rPr>
          <w:rStyle w:val="11"/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end"/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二、报名二维码</w:t>
      </w:r>
    </w:p>
    <w:p>
      <w:pPr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aperSrc/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2832735" cy="2557780"/>
            <wp:effectExtent l="0" t="0" r="571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255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会议议程</w:t>
      </w:r>
    </w:p>
    <w:tbl>
      <w:tblPr>
        <w:tblStyle w:val="7"/>
        <w:tblpPr w:leftFromText="180" w:rightFromText="180" w:vertAnchor="text" w:horzAnchor="page" w:tblpX="1494" w:tblpY="251"/>
        <w:tblOverlap w:val="never"/>
        <w:tblW w:w="13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345"/>
        <w:gridCol w:w="3985"/>
        <w:gridCol w:w="3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4345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授课老师</w:t>
            </w:r>
          </w:p>
        </w:tc>
        <w:tc>
          <w:tcPr>
            <w:tcW w:w="3985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3621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526" w:type="dxa"/>
            <w:gridSpan w:val="4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2021年12月30日08：00-12：00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7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08：00-08：50</w:t>
            </w:r>
          </w:p>
        </w:tc>
        <w:tc>
          <w:tcPr>
            <w:tcW w:w="11951" w:type="dxa"/>
            <w:gridSpan w:val="3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08：50-09：00</w:t>
            </w:r>
          </w:p>
        </w:tc>
        <w:tc>
          <w:tcPr>
            <w:tcW w:w="8330" w:type="dxa"/>
            <w:gridSpan w:val="2"/>
          </w:tcPr>
          <w:p>
            <w:pPr>
              <w:spacing w:line="400" w:lineRule="exact"/>
            </w:pPr>
            <w:r>
              <w:rPr>
                <w:rFonts w:hint="eastAsia"/>
              </w:rPr>
              <w:t>四川大学华西第二医院眉山市妇女儿童医院党委书记、院长       陈杰致辞</w:t>
            </w:r>
          </w:p>
        </w:tc>
        <w:tc>
          <w:tcPr>
            <w:tcW w:w="3621" w:type="dxa"/>
            <w:vMerge w:val="restart"/>
          </w:tcPr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眉山市妇女儿童医院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妇产科教研室主任   秦琦主任医师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09：00-10：10</w:t>
            </w:r>
          </w:p>
        </w:tc>
        <w:tc>
          <w:tcPr>
            <w:tcW w:w="434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四川大学华西第二医院 王和教授</w:t>
            </w:r>
          </w:p>
        </w:tc>
        <w:tc>
          <w:tcPr>
            <w:tcW w:w="398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出生缺陷防控二级干预策略</w:t>
            </w:r>
          </w:p>
        </w:tc>
        <w:tc>
          <w:tcPr>
            <w:tcW w:w="3621" w:type="dxa"/>
            <w:vMerge w:val="continue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10：10-11：00</w:t>
            </w:r>
          </w:p>
        </w:tc>
        <w:tc>
          <w:tcPr>
            <w:tcW w:w="434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四川大学华西第二医院 彭冰教授</w:t>
            </w:r>
          </w:p>
        </w:tc>
        <w:tc>
          <w:tcPr>
            <w:tcW w:w="398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产科抗磷脂综合征诊治进展</w:t>
            </w:r>
          </w:p>
        </w:tc>
        <w:tc>
          <w:tcPr>
            <w:tcW w:w="3621" w:type="dxa"/>
            <w:vMerge w:val="continue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11：00-12：00</w:t>
            </w:r>
          </w:p>
        </w:tc>
        <w:tc>
          <w:tcPr>
            <w:tcW w:w="434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四川大学华西第二医院 姚强教授</w:t>
            </w:r>
          </w:p>
        </w:tc>
        <w:tc>
          <w:tcPr>
            <w:tcW w:w="398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电子胎心监护的临床运用</w:t>
            </w:r>
          </w:p>
        </w:tc>
        <w:tc>
          <w:tcPr>
            <w:tcW w:w="3621" w:type="dxa"/>
            <w:vMerge w:val="continue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6" w:type="dxa"/>
            <w:gridSpan w:val="4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12：00-14：30（午休）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14：30-15：10</w:t>
            </w:r>
          </w:p>
        </w:tc>
        <w:tc>
          <w:tcPr>
            <w:tcW w:w="434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四川大学华西第二医院眉山市妇女儿童医院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优生学科主任  杨雅莉副主任医师</w:t>
            </w:r>
          </w:p>
        </w:tc>
        <w:tc>
          <w:tcPr>
            <w:tcW w:w="398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产前筛查及产前诊断的临床应用</w:t>
            </w:r>
          </w:p>
        </w:tc>
        <w:tc>
          <w:tcPr>
            <w:tcW w:w="3621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眉山市妇女儿童医院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产科主任    王辉副主任医师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15：10-15：50</w:t>
            </w:r>
          </w:p>
        </w:tc>
        <w:tc>
          <w:tcPr>
            <w:tcW w:w="434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四川大学华西第二医院眉山市妇女儿童医院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医学功能科主任  薛利副主任医师</w:t>
            </w:r>
          </w:p>
        </w:tc>
        <w:tc>
          <w:tcPr>
            <w:tcW w:w="398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产科超声的软指标临床意义解读</w:t>
            </w:r>
          </w:p>
          <w:p>
            <w:pPr>
              <w:spacing w:line="400" w:lineRule="exact"/>
              <w:jc w:val="center"/>
            </w:pPr>
          </w:p>
        </w:tc>
        <w:tc>
          <w:tcPr>
            <w:tcW w:w="3621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眉山市妇女儿童医院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优生学科主任    杨雅莉副主任医师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15：50-16：30</w:t>
            </w:r>
          </w:p>
        </w:tc>
        <w:tc>
          <w:tcPr>
            <w:tcW w:w="434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四川大学华西第二医院眉山市妇女儿童医院 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产科主任  王辉副主任医师</w:t>
            </w:r>
          </w:p>
        </w:tc>
        <w:tc>
          <w:tcPr>
            <w:tcW w:w="398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产后出血的应对措施</w:t>
            </w:r>
          </w:p>
          <w:p>
            <w:pPr>
              <w:spacing w:line="400" w:lineRule="exact"/>
              <w:jc w:val="center"/>
            </w:pPr>
          </w:p>
        </w:tc>
        <w:tc>
          <w:tcPr>
            <w:tcW w:w="3621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眉山市妇女儿童医院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妇产科教研室主任   秦琦主任医师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16：30-17：00</w:t>
            </w:r>
          </w:p>
        </w:tc>
        <w:tc>
          <w:tcPr>
            <w:tcW w:w="11951" w:type="dxa"/>
            <w:gridSpan w:val="3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散会、签出</w:t>
            </w:r>
          </w:p>
        </w:tc>
      </w:tr>
    </w:tbl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587" w:right="1701" w:bottom="1474" w:left="1361" w:header="851" w:footer="141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color w:val="FFFFFF" w:themeColor="background1"/>
                    <w:lang w:val="en-US" w:eastAsia="zh-CN"/>
                    <w14:textFill>
                      <w14:solidFill>
                        <w14:schemeClr w14:val="bg1"/>
                      </w14:solidFill>
                    </w14:textFill>
                  </w:rPr>
                </w:pPr>
                <w:r>
                  <w:rPr>
                    <w:rFonts w:hint="eastAsia" w:ascii="Times New Roman" w:hAnsi="Times New Roman" w:cs="Times New Roman"/>
                    <w:color w:val="FFFFFF" w:themeColor="background1"/>
                    <w:sz w:val="28"/>
                    <w:szCs w:val="28"/>
                    <w:lang w:eastAsia="zh-CN"/>
                    <w14:textFill>
                      <w14:solidFill>
                        <w14:schemeClr w14:val="bg1"/>
                      </w14:solidFill>
                    </w14:textFill>
                  </w:rPr>
                  <w:t>人</w:t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Times New Roman" w:hAnsi="Times New Roman" w:cs="Times New Roman"/>
                    <w:color w:val="FFFFFF" w:themeColor="background1"/>
                    <w:sz w:val="28"/>
                    <w:szCs w:val="28"/>
                    <w:lang w:eastAsia="zh-CN"/>
                    <w14:textFill>
                      <w14:solidFill>
                        <w14:schemeClr w14:val="bg1"/>
                      </w14:solidFill>
                    </w14:textFill>
                  </w:rPr>
                  <w:t>人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9"/>
                    <w:rFonts w:ascii="仿宋_GB2312" w:eastAsia="仿宋_GB2312"/>
                    <w:sz w:val="32"/>
                    <w:szCs w:val="32"/>
                  </w:rPr>
                </w:pPr>
                <w:r>
                  <w:rPr>
                    <w:rStyle w:val="9"/>
                    <w:rFonts w:hint="eastAsia" w:ascii="仿宋_GB2312" w:eastAsia="仿宋_GB2312"/>
                    <w:sz w:val="32"/>
                    <w:szCs w:val="32"/>
                  </w:rPr>
                  <w:t>－</w:t>
                </w:r>
                <w:r>
                  <w:rPr>
                    <w:rFonts w:hint="eastAsia" w:ascii="仿宋_GB2312" w:eastAsia="仿宋_GB2312"/>
                    <w:sz w:val="32"/>
                    <w:szCs w:val="32"/>
                  </w:rPr>
                  <w:fldChar w:fldCharType="begin"/>
                </w:r>
                <w:r>
                  <w:rPr>
                    <w:rStyle w:val="9"/>
                    <w:rFonts w:hint="eastAsia" w:ascii="仿宋_GB2312" w:eastAsia="仿宋_GB2312"/>
                    <w:sz w:val="32"/>
                    <w:szCs w:val="32"/>
                  </w:rPr>
                  <w:instrText xml:space="preserve">PAGE  </w:instrText>
                </w:r>
                <w:r>
                  <w:rPr>
                    <w:rFonts w:hint="eastAsia" w:ascii="仿宋_GB2312" w:eastAsia="仿宋_GB2312"/>
                    <w:sz w:val="32"/>
                    <w:szCs w:val="32"/>
                  </w:rPr>
                  <w:fldChar w:fldCharType="separate"/>
                </w:r>
                <w:r>
                  <w:rPr>
                    <w:rStyle w:val="9"/>
                    <w:rFonts w:ascii="仿宋_GB2312" w:eastAsia="仿宋_GB2312"/>
                    <w:sz w:val="32"/>
                    <w:szCs w:val="32"/>
                  </w:rPr>
                  <w:t>5</w:t>
                </w:r>
                <w:r>
                  <w:rPr>
                    <w:rFonts w:hint="eastAsia" w:ascii="仿宋_GB2312" w:eastAsia="仿宋_GB2312"/>
                    <w:sz w:val="32"/>
                    <w:szCs w:val="32"/>
                  </w:rPr>
                  <w:fldChar w:fldCharType="end"/>
                </w:r>
                <w:r>
                  <w:rPr>
                    <w:rStyle w:val="9"/>
                    <w:rFonts w:hint="eastAsia" w:ascii="仿宋_GB2312" w:eastAsia="仿宋_GB2312"/>
                    <w:sz w:val="32"/>
                    <w:szCs w:val="32"/>
                  </w:rPr>
                  <w:t>－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CA6E99"/>
    <w:multiLevelType w:val="singleLevel"/>
    <w:tmpl w:val="8CCA6E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4441C"/>
    <w:rsid w:val="000C2B37"/>
    <w:rsid w:val="00196F01"/>
    <w:rsid w:val="0032543D"/>
    <w:rsid w:val="003677BF"/>
    <w:rsid w:val="004A061D"/>
    <w:rsid w:val="00603B65"/>
    <w:rsid w:val="006D2FD6"/>
    <w:rsid w:val="0083507A"/>
    <w:rsid w:val="00990D98"/>
    <w:rsid w:val="00A964D1"/>
    <w:rsid w:val="00B80E17"/>
    <w:rsid w:val="00CA7769"/>
    <w:rsid w:val="00D00BD7"/>
    <w:rsid w:val="00D4441C"/>
    <w:rsid w:val="00E20475"/>
    <w:rsid w:val="00F2560C"/>
    <w:rsid w:val="00FA7470"/>
    <w:rsid w:val="013C5E51"/>
    <w:rsid w:val="0812334F"/>
    <w:rsid w:val="0A837968"/>
    <w:rsid w:val="0C382B93"/>
    <w:rsid w:val="1123445C"/>
    <w:rsid w:val="17822E75"/>
    <w:rsid w:val="17AC44F8"/>
    <w:rsid w:val="19FA21C3"/>
    <w:rsid w:val="1D2B18B9"/>
    <w:rsid w:val="213F1DF3"/>
    <w:rsid w:val="23955BE8"/>
    <w:rsid w:val="24C35F7A"/>
    <w:rsid w:val="25180F7B"/>
    <w:rsid w:val="2769195B"/>
    <w:rsid w:val="29F660A7"/>
    <w:rsid w:val="2B51698E"/>
    <w:rsid w:val="2CBC07FF"/>
    <w:rsid w:val="2E2A34C6"/>
    <w:rsid w:val="2F405B77"/>
    <w:rsid w:val="315417EB"/>
    <w:rsid w:val="31B51831"/>
    <w:rsid w:val="33B801F6"/>
    <w:rsid w:val="37727DE9"/>
    <w:rsid w:val="3932058D"/>
    <w:rsid w:val="3D8E5820"/>
    <w:rsid w:val="415D15DB"/>
    <w:rsid w:val="45B852A4"/>
    <w:rsid w:val="4759345D"/>
    <w:rsid w:val="49DB2709"/>
    <w:rsid w:val="4C1A3F1A"/>
    <w:rsid w:val="563446C2"/>
    <w:rsid w:val="57A7738C"/>
    <w:rsid w:val="58BA52C3"/>
    <w:rsid w:val="5C5916B5"/>
    <w:rsid w:val="5CCE758F"/>
    <w:rsid w:val="64F27872"/>
    <w:rsid w:val="66DC0AFB"/>
    <w:rsid w:val="6707201B"/>
    <w:rsid w:val="6C1400F8"/>
    <w:rsid w:val="772E53A2"/>
    <w:rsid w:val="7A7E1365"/>
    <w:rsid w:val="7D3A189F"/>
    <w:rsid w:val="7DA0357C"/>
    <w:rsid w:val="7DA5407C"/>
    <w:rsid w:val="7DB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cs="宋体"/>
    </w:r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2">
    <w:name w:val="纯文本 Char"/>
    <w:basedOn w:val="8"/>
    <w:link w:val="2"/>
    <w:qFormat/>
    <w:uiPriority w:val="99"/>
    <w:rPr>
      <w:rFonts w:ascii="宋体" w:hAnsi="Calibri" w:eastAsia="宋体" w:cs="宋体"/>
      <w:szCs w:val="21"/>
    </w:rPr>
  </w:style>
  <w:style w:type="character" w:customStyle="1" w:styleId="13">
    <w:name w:val="页脚 Char"/>
    <w:basedOn w:val="8"/>
    <w:link w:val="4"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4">
    <w:name w:val="页眉 Char"/>
    <w:basedOn w:val="8"/>
    <w:link w:val="5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列出段落11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paragraph" w:customStyle="1" w:styleId="19">
    <w:name w:val="Table Paragraph"/>
    <w:basedOn w:val="1"/>
    <w:qFormat/>
    <w:uiPriority w:val="1"/>
    <w:pPr>
      <w:ind w:left="15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217</Words>
  <Characters>1238</Characters>
  <Lines>10</Lines>
  <Paragraphs>2</Paragraphs>
  <TotalTime>1</TotalTime>
  <ScaleCrop>false</ScaleCrop>
  <LinksUpToDate>false</LinksUpToDate>
  <CharactersWithSpaces>1453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2018-11-14T18:49:00Z</dcterms:created>
  <dc:creator>AutoBVT</dc:creator>
  <cp:lastModifiedBy>AA鑫科广告图文 廖秋红18160170035</cp:lastModifiedBy>
  <dcterms:modified xsi:type="dcterms:W3CDTF">2021-12-22T08:34:53Z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E77AA02D30E04AE2AA6776D049A3AD25</vt:lpwstr>
  </property>
</Properties>
</file>